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B1" w:rsidRPr="00910EB1" w:rsidRDefault="00910EB1" w:rsidP="0091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0EB1">
        <w:rPr>
          <w:rFonts w:ascii="Times New Roman" w:eastAsia="Calibri" w:hAnsi="Times New Roman" w:cs="Times New Roman"/>
          <w:b/>
          <w:sz w:val="28"/>
          <w:szCs w:val="28"/>
        </w:rPr>
        <w:t xml:space="preserve">Глоссарий основных терминов, </w:t>
      </w:r>
    </w:p>
    <w:p w:rsidR="001809A9" w:rsidRPr="001809A9" w:rsidRDefault="00910EB1" w:rsidP="0091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0EB1">
        <w:rPr>
          <w:rFonts w:ascii="Times New Roman" w:eastAsia="Calibri" w:hAnsi="Times New Roman" w:cs="Times New Roman"/>
          <w:b/>
          <w:sz w:val="28"/>
          <w:szCs w:val="28"/>
        </w:rPr>
        <w:t>используемых</w:t>
      </w:r>
      <w:bookmarkStart w:id="0" w:name="_GoBack"/>
      <w:bookmarkEnd w:id="0"/>
      <w:r w:rsidR="001809A9" w:rsidRPr="001809A9">
        <w:rPr>
          <w:rFonts w:ascii="Times New Roman" w:eastAsia="Calibri" w:hAnsi="Times New Roman" w:cs="Times New Roman"/>
          <w:b/>
          <w:sz w:val="28"/>
          <w:szCs w:val="28"/>
        </w:rPr>
        <w:t xml:space="preserve"> при подготовке вопросов и задач квалификационного экзамена </w:t>
      </w:r>
    </w:p>
    <w:p w:rsidR="001809A9" w:rsidRDefault="001809A9" w:rsidP="001809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09A9">
        <w:rPr>
          <w:rFonts w:ascii="Times New Roman" w:eastAsia="Calibri" w:hAnsi="Times New Roman" w:cs="Times New Roman"/>
          <w:b/>
          <w:sz w:val="28"/>
          <w:szCs w:val="28"/>
        </w:rPr>
        <w:t>по направлению оценочной деятельности «Оценка недвижимости»</w:t>
      </w:r>
    </w:p>
    <w:p w:rsidR="00C55D33" w:rsidRPr="001809A9" w:rsidRDefault="00C55D33" w:rsidP="001809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4252"/>
        <w:gridCol w:w="4962"/>
      </w:tblGrid>
      <w:tr w:rsidR="001809A9" w:rsidTr="00DD3BC7">
        <w:tc>
          <w:tcPr>
            <w:tcW w:w="2943" w:type="dxa"/>
            <w:vAlign w:val="center"/>
          </w:tcPr>
          <w:p w:rsidR="001809A9" w:rsidRPr="004A5212" w:rsidRDefault="001809A9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Термин</w:t>
            </w:r>
          </w:p>
        </w:tc>
        <w:tc>
          <w:tcPr>
            <w:tcW w:w="2552" w:type="dxa"/>
            <w:vAlign w:val="center"/>
          </w:tcPr>
          <w:p w:rsidR="001809A9" w:rsidRPr="004A5212" w:rsidRDefault="001809A9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Синоним термина/английское обозначение</w:t>
            </w:r>
          </w:p>
        </w:tc>
        <w:tc>
          <w:tcPr>
            <w:tcW w:w="4252" w:type="dxa"/>
            <w:vAlign w:val="center"/>
          </w:tcPr>
          <w:p w:rsidR="001809A9" w:rsidRPr="004A5212" w:rsidRDefault="001809A9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Определение</w:t>
            </w:r>
          </w:p>
        </w:tc>
        <w:tc>
          <w:tcPr>
            <w:tcW w:w="4962" w:type="dxa"/>
            <w:vAlign w:val="center"/>
          </w:tcPr>
          <w:p w:rsidR="001809A9" w:rsidRPr="004409C9" w:rsidRDefault="001809A9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Комментарий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/формула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Аддитивная модель внесения относительных корректировок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Модель, предполагающая расчет совокупной корректировки как суммы всех вносимых относительных корректировок.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  <m:sup/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C%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</m:e>
              </m:nary>
            </m:oMath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где 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</m:t>
              </m:r>
            </m:oMath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совокупная относительная (процентная) корректировка,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C%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Pr="00C22F6A">
              <w:rPr>
                <w:rFonts w:ascii="Times New Roman" w:eastAsia="Times New Roman" w:hAnsi="Times New Roman" w:cs="Times New Roman"/>
                <w:color w:val="000000"/>
              </w:rPr>
              <w:t>- вносимая относительная (процентная) корректировка.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Аддитивная модель расчета совокупного износа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Модель, предполагающая расчет коэффициента совокупного износа как суммы коэффициентов физического износа, функционального и экономического устареваний. Согласно </w:t>
            </w:r>
            <w:r w:rsidRPr="00C22F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аддитивной модели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 износ и устаревания действуют независимо и снижают полную стоимость на соответствующий процент.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Ксов. = Кфиз. + Кфун. + Кэк., где 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Ксов. - коэффициент совокупного износа,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Кфиз.- коэффициент физического износа,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Кфун. - коэффициент функционального устаревания,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Кэк. - коэффициент экономического устаревания.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Объект-аналог</w:t>
            </w:r>
          </w:p>
        </w:tc>
        <w:tc>
          <w:tcPr>
            <w:tcW w:w="2552" w:type="dxa"/>
            <w:vAlign w:val="center"/>
          </w:tcPr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Аналог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Согласно ФСО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Арендопригодная площадь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Площадь объекта недвижимости, которая может быть сдана в аренду.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Безрисковая ставка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Ставка безрисковой доходности</w:t>
            </w:r>
          </w:p>
        </w:tc>
        <w:tc>
          <w:tcPr>
            <w:tcW w:w="4252" w:type="dxa"/>
            <w:vAlign w:val="center"/>
          </w:tcPr>
          <w:p w:rsidR="00DD3BC7" w:rsidRPr="00C22F6A" w:rsidRDefault="001809A9" w:rsidP="00DD3B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Процентная ставка доходности, которую инвестор может получить на свой капитал, при вложении в наиболее ликвидные активы, характеризующиеся отсутствием или минимальным возможным риском невозвращения вложенных средств.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Валовый рентный множитель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Валовый рентный мультипликатор</w:t>
            </w:r>
          </w:p>
        </w:tc>
        <w:tc>
          <w:tcPr>
            <w:tcW w:w="4252" w:type="dxa"/>
            <w:vAlign w:val="center"/>
          </w:tcPr>
          <w:p w:rsidR="00DD3BC7" w:rsidRPr="00C22F6A" w:rsidRDefault="001809A9" w:rsidP="00DD3B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Показатель, равный отношению цены продажи к валовому доходу от объекта недвижимости.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Внешнее устаревание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Экономическое устаревание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Уменьшение стоимости в результате воздействия неблагоприятных внешних факторов, таких, как низкий 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сравнительный спрос на недвижимость, отраслевая переориентация, сложности с транспортировкой, чрезмерное государственное регулирование и т.п.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Действительный валовый доход 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ДВД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Потенциальный валовый доход за вычетом потерь от недозагрузки, неплатежей арендаторов, а также с учетом дополнительных видов доходов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Денежная корректировка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Абсолютная корректировка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Денежная сумма, в которую оценивается различие в характеристиках объекта аналога и оцениваемого объекта. Денежная корректировка может применяться как цене объекта аналога в целом, так и единице сравнения.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Дисконтирование на конец периода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060" w:dyaOrig="680" w14:anchorId="2688AD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pt;height:33.6pt" o:ole="">
                  <v:imagedata r:id="rId7" o:title=""/>
                </v:shape>
                <o:OLEObject Type="Embed" ProgID="Equation.3" ShapeID="_x0000_i1025" DrawAspect="Content" ObjectID="_1559142486" r:id="rId8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Дисконтирование на начало периода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200" w:dyaOrig="680" w14:anchorId="2FD253AC">
                <v:shape id="_x0000_i1026" type="#_x0000_t75" style="width:60pt;height:33.6pt" o:ole="">
                  <v:imagedata r:id="rId9" o:title=""/>
                </v:shape>
                <o:OLEObject Type="Embed" ProgID="Equation.3" ShapeID="_x0000_i1026" DrawAspect="Content" ObjectID="_1559142487" r:id="rId10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Дисконтирование на середину периода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320" w:dyaOrig="680" w14:anchorId="40E110EC">
                <v:shape id="_x0000_i1027" type="#_x0000_t75" style="width:65.6pt;height:33.6pt" o:ole="">
                  <v:imagedata r:id="rId11" o:title=""/>
                </v:shape>
                <o:OLEObject Type="Embed" ProgID="Equation.3" ShapeID="_x0000_i1027" DrawAspect="Content" ObjectID="_1559142488" r:id="rId12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Дисконтированная (текущая) стоимость реверсии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Рассчитывается по формуле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100" w:dyaOrig="680" w14:anchorId="06214BD9">
                <v:shape id="_x0000_i1028" type="#_x0000_t75" style="width:54.4pt;height:33.6pt" o:ole="">
                  <v:imagedata r:id="rId13" o:title=""/>
                </v:shape>
                <o:OLEObject Type="Embed" ProgID="Equation.3" ShapeID="_x0000_i1028" DrawAspect="Content" ObjectID="_1559142489" r:id="rId14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TV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терминальная стоимость,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периода прогнозирования.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Дисконтный множитель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Фактор (коэффициент) дисконтирования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Коэффициент, умножение на который величины денежного потока будущего периода дает его текущую стоимость.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См. также </w:t>
            </w: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Дисконтирование на конец/начало/середину периода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Доля заемных средств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Доля средств в совокупных инвестициях в объект недвижимости, формируемая за счет заемного финансирования.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Единый объект недвижимости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Земельный участок и улучшения, расположенные на нем.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Затраты на воспроизводство (без учета износа и устареваний)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Полная стоимость воспроизводства, стоимость воспроизводства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Затраты на создание копии существующего объекта с использованием того же строительного проекта и аналогичных строительных материалов (без учета износа и устареваний объекта оценки).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Затраты на замещение (без учета износа и устареваний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Полная стоимость замещения, стоимость замещения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Затраты на строительство объекта с аналогичной или сопоставимой полезностью, с применением конструкции и материалов, используемых на рынке в настоящее время (без учета износа и устареваний объекта оценки).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Индекс изменения цен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C55D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Отношение цены товара(услуги) в конце периода к его цене в начале периода.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Ипотечная постоянная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Отношение ежегодных расходов по обслуживанию ипотечного кредита к первоначальной сумме кредита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Коэффициент арендопригодной площади здания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Отношение площади, которую можно сдать в аренду, к общей площади здания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Коэффициент капитализации для земельного участка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Ставка капитализации для земельного участка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Выраженное в процентах отношение чистого операционного дохода, относимого на земельный участок к его рыночной стоимости.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Коэффициент капитализации для единого объекта недвижимости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Ставка капитализации для единого объекта недвижимости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Выраженное в процентах отношение чистого операционного дохода, приносимого единым объектом недвижимости, к его рыночной стоимости.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Коэффициент капитализации для улучшений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ставка капитализации для улучшений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Выраженное в процентах отношение чистого операционного дохода, относимого на улучшения, к их рыночной стоимости.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Коэффициент потерь от недозагрузки арендных площадей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Отношение величины потерь арендных доходов от неполного использования арендопригодных площадей к потенциальному валовому доходу. Обычно выражается в процентах от ПВД.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Коэффициент торможения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Показатель степени, характеризующий силу влияния главного параметра на стоимость объекта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b=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ln(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ln(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den>
              </m:f>
            </m:oMath>
            <w:r w:rsidRPr="00C22F6A">
              <w:rPr>
                <w:rFonts w:ascii="Times New Roman" w:eastAsia="Times New Roman" w:hAnsi="Times New Roman" w:cs="Times New Roman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Calibri" w:hAnsi="Times New Roman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b</m:t>
              </m:r>
            </m:oMath>
            <w:r w:rsidRPr="00C22F6A">
              <w:rPr>
                <w:rFonts w:ascii="Times New Roman" w:eastAsia="Calibri" w:hAnsi="Times New Roman" w:cs="Times New Roman"/>
              </w:rPr>
              <w:t xml:space="preserve"> – </w:t>
            </w:r>
            <w:r w:rsidRPr="00C22F6A">
              <w:rPr>
                <w:rFonts w:ascii="Times New Roman" w:eastAsiaTheme="minorEastAsia" w:hAnsi="Times New Roman" w:cs="Times New Roman"/>
              </w:rPr>
              <w:t>коэффициент торможения;</w:t>
            </w:r>
          </w:p>
          <w:p w:rsidR="001809A9" w:rsidRPr="00C22F6A" w:rsidRDefault="00F3443B" w:rsidP="00F67324">
            <w:pPr>
              <w:rPr>
                <w:rFonts w:ascii="Times New Roman" w:eastAsia="Calibri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</m:oMath>
            <w:r w:rsidR="001809A9" w:rsidRPr="00C22F6A">
              <w:rPr>
                <w:rFonts w:ascii="Times New Roman" w:eastAsia="Calibri" w:hAnsi="Times New Roman" w:cs="Times New Roman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="001809A9" w:rsidRPr="00C22F6A">
              <w:rPr>
                <w:rFonts w:ascii="Times New Roman" w:eastAsia="Calibri" w:hAnsi="Times New Roman" w:cs="Times New Roman"/>
              </w:rPr>
              <w:t xml:space="preserve">- </w:t>
            </w:r>
            <w:r w:rsidR="001809A9" w:rsidRPr="00C22F6A">
              <w:rPr>
                <w:rFonts w:ascii="Times New Roman" w:eastAsiaTheme="minorEastAsia" w:hAnsi="Times New Roman" w:cs="Times New Roman"/>
              </w:rPr>
              <w:t>стоимости первого и второго объектов-аналогов;</w:t>
            </w:r>
          </w:p>
          <w:p w:rsidR="001809A9" w:rsidRPr="00C22F6A" w:rsidRDefault="00F3443B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</m:oMath>
            <w:r w:rsidR="001809A9" w:rsidRPr="00C22F6A">
              <w:rPr>
                <w:rFonts w:ascii="Times New Roman" w:eastAsia="Calibri" w:hAnsi="Times New Roman" w:cs="Times New Roman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="001809A9" w:rsidRPr="00C22F6A">
              <w:rPr>
                <w:rFonts w:ascii="Times New Roman" w:eastAsia="Calibri" w:hAnsi="Times New Roman" w:cs="Times New Roman"/>
              </w:rPr>
              <w:t xml:space="preserve"> – </w:t>
            </w:r>
            <w:r w:rsidR="001809A9" w:rsidRPr="00C22F6A">
              <w:rPr>
                <w:rFonts w:ascii="Times New Roman" w:eastAsiaTheme="minorEastAsia" w:hAnsi="Times New Roman" w:cs="Times New Roman"/>
              </w:rPr>
              <w:t>ценообразующие параметры соответствующих аналогов.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дисконтированных денежных потоков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hAnsi="Times New Roman" w:cs="Times New Roman"/>
              </w:rPr>
            </w:pPr>
            <w:r w:rsidRPr="00C22F6A">
              <w:rPr>
                <w:rFonts w:ascii="Times New Roman" w:hAnsi="Times New Roman" w:cs="Times New Roman"/>
              </w:rPr>
              <w:t>Метод расчета стоимости, основанный на приведении (дисконтировании) будущих денежных потоков доходов и расходов, связанных с объектом недвижимости, в том числе от его продажи в конце прогнозного периода, к дате, на которую определяется стоимость.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Стоимость в рамках применения метода дисконтирования денежных потоков определяется по формуле: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16"/>
              </w:rPr>
              <w:object w:dxaOrig="3560" w:dyaOrig="460" w14:anchorId="558D1F85">
                <v:shape id="_x0000_i1029" type="#_x0000_t75" style="width:177.6pt;height:23.2pt" o:ole="">
                  <v:imagedata r:id="rId15" o:title=""/>
                </v:shape>
                <o:OLEObject Type="Embed" ProgID="Equation.3" ShapeID="_x0000_i1029" DrawAspect="Content" ObjectID="_1559142490" r:id="rId16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Value - 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определяемая стоимость,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периодов прогнозирования,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240" w:dyaOrig="360" w14:anchorId="21FF0B28">
                <v:shape id="_x0000_i1030" type="#_x0000_t75" style="width:12pt;height:18.4pt" o:ole="">
                  <v:imagedata r:id="rId17" o:title=""/>
                </v:shape>
                <o:OLEObject Type="Embed" ProgID="Equation.3" ShapeID="_x0000_i1030" DrawAspect="Content" ObjectID="_1559142491" r:id="rId18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- фактор дисконтирования периода i,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400" w:dyaOrig="360" w14:anchorId="505BCF34">
                <v:shape id="_x0000_i1031" type="#_x0000_t75" style="width:19.2pt;height:18.4pt" o:ole="">
                  <v:imagedata r:id="rId19" o:title=""/>
                </v:shape>
                <o:OLEObject Type="Embed" ProgID="Equation.3" ShapeID="_x0000_i1031" DrawAspect="Content" ObjectID="_1559142492" r:id="rId20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денежный поток периода I,</w:t>
            </w:r>
          </w:p>
          <w:p w:rsidR="00DD3BC7" w:rsidRPr="00C22F6A" w:rsidRDefault="001809A9" w:rsidP="00DD3B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PV(S)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текущая стоимость денежного потока от продажи объекта недвижимости.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Инвуда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Метод расчета нормы возврата капитала. Для реинвестируемых средств предполагается получение дохода по ставке, равной требуемой норме доходности (норме отдачи) на собственный капитал. </w:t>
            </w:r>
          </w:p>
          <w:p w:rsidR="00DD3BC7" w:rsidRPr="00C22F6A" w:rsidRDefault="00DD3BC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Норма возврата капитала = SFF(n,Y) = </w:t>
            </w:r>
            <m:oMath>
              <m:f>
                <m:fPr>
                  <m:type m:val="lin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Y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</w:rPr>
                            <m:t>1+Y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n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-1)</m:t>
                  </m:r>
                </m:den>
              </m:f>
            </m:oMath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Y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- требуемая норма доходности инвестиций,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оставшийся срок экономической жизни.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кумулятивного построения для расчета ставки дисконтирования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расчета ставки дисконтирования, учитывающий риски, связанные с инвестированием в объекты недвижимости.  Ставка дисконтирования определяется как сумма "безрисковой" доходности, премии за низкую ликвидность, премии за риск вложения в недвижимость, премии за инвестиционный менеджмент.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разбивки на компоненты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расчета стоимости здания как суммы стоимостей его отдельных компонентов - фундаментов, стен, перекрытий и т.п.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Ринга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</w:rPr>
            </w:pPr>
            <w:r w:rsidRPr="00C22F6A">
              <w:rPr>
                <w:rFonts w:ascii="Times New Roman" w:eastAsia="Times New Roman" w:hAnsi="Times New Roman" w:cs="Times New Roman"/>
              </w:rPr>
              <w:t xml:space="preserve">Метод расчета нормы возврата капитала. Предусматривается возмещение инвестированного капитала равными суммами.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Норма возврата капитала  =</w:t>
            </w:r>
            <w:r w:rsidRPr="00C22F6A">
              <w:rPr>
                <w:rFonts w:ascii="Times New Roman" w:eastAsia="Times New Roman" w:hAnsi="Times New Roman" w:cs="Times New Roman"/>
                <w:i/>
              </w:rPr>
              <w:t xml:space="preserve"> 1/n,</w:t>
            </w:r>
            <w:r w:rsidRPr="00C22F6A">
              <w:rPr>
                <w:rFonts w:ascii="Times New Roman" w:eastAsia="Times New Roman" w:hAnsi="Times New Roman" w:cs="Times New Roman"/>
              </w:rPr>
              <w:t xml:space="preserve">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</w:rPr>
            </w:pPr>
            <w:r w:rsidRPr="00C22F6A">
              <w:rPr>
                <w:rFonts w:ascii="Times New Roman" w:eastAsia="Times New Roman" w:hAnsi="Times New Roman" w:cs="Times New Roman"/>
                <w:i/>
              </w:rPr>
              <w:t>n</w:t>
            </w:r>
            <w:r w:rsidRPr="00C22F6A">
              <w:rPr>
                <w:rFonts w:ascii="Times New Roman" w:eastAsia="Times New Roman" w:hAnsi="Times New Roman" w:cs="Times New Roman"/>
              </w:rPr>
              <w:t xml:space="preserve"> - оставшийся срок экономической жизни.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рыночной экстракции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определения коэффициента капитализации на основе анализа соотношения чистого арендного дохода и цен продаж по данным реальных сделок или соответствующим образом скорректированных цен предложений объектов недвижимости при условии, что существующее использование объектов соответствует их наилучшему и наиболее эффективному использованию.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сравнения продаж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DD3BC7" w:rsidRPr="00C22F6A" w:rsidRDefault="001809A9" w:rsidP="00DD3B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рыночной стоимости объекта путем анализа цен продаж/предложений сопоставимых объектов (аналогов) и применения к ним корректировок, учитывающих различия между аналогами и объектом. Метод предполагает: определение элементов сравнения, определение по каждому из них степени отличия аналогов от объекта оценки, а затем корректировку цен аналогов по каждому элементу сравнения и расчет рыночной стоимости объекта оценки путем обоснованного обобщения полученных скорректированных цен аналогов.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сравнительной единицы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предполагает расчет стоимости строительства сравнительной единицы (1 кв. м, 1 куб. м) аналогичного объекта. Для расчета полной стоимости оцениваемого объекта скорректированная стоимость единицы сравнения умножается на количество единиц (площадь, объем).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Хоскольда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Метод расчета нормы возврата капитала. Для реинвестируемых средств предполагается получение дохода по безрисковой ставке.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Норма возврата капитала = SFF(n,Y) = </w:t>
            </w:r>
            <m:oMath>
              <m:f>
                <m:fPr>
                  <m:type m:val="lin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Yrf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</w:rPr>
                            <m:t>1+Yr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</w:rPr>
                            <m:t>f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n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-1)</m:t>
                  </m:r>
                </m:den>
              </m:f>
            </m:oMath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Yrf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- безрисковая ставка дохода на инвестиции,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оставшийся срок экономической жизни. </w:t>
            </w: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эффективного возраста расчета износа</w:t>
            </w:r>
          </w:p>
        </w:tc>
        <w:tc>
          <w:tcPr>
            <w:tcW w:w="25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экономического возраста</w:t>
            </w:r>
          </w:p>
        </w:tc>
        <w:tc>
          <w:tcPr>
            <w:tcW w:w="42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предполагает определение физического износа объекта на основе значения эффективного возраста, а не хронологического.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Мультипликативная модель внесения корректировок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</w:rPr>
                  <m:t>∆C%=1-</m:t>
                </m:r>
                <m:nary>
                  <m:naryPr>
                    <m:chr m:val="∏"/>
                    <m:limLoc m:val="subSup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  <m:sup/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∆C%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Times New Roman"/>
                    <w:color w:val="000000"/>
                  </w:rPr>
                  <m:t>),</m:t>
                </m:r>
              </m:oMath>
            </m:oMathPara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где 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</m:t>
              </m:r>
            </m:oMath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совокупная относительная (процентная) корректировка,</w:t>
            </w:r>
          </w:p>
          <w:p w:rsidR="001809A9" w:rsidRPr="00C22F6A" w:rsidRDefault="00F3443B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∆C%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="001809A9" w:rsidRPr="00C22F6A">
              <w:rPr>
                <w:rFonts w:ascii="Times New Roman" w:eastAsia="Times New Roman" w:hAnsi="Times New Roman" w:cs="Times New Roman"/>
                <w:color w:val="000000"/>
              </w:rPr>
              <w:t>вносимая относительная (процентная) корректировка.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Мультипликативная модель расчета совокупного износа и устареваний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Модель расчета совокупного износа и устареваний.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Ксов = 1 - (1 - Кфиз.)(1 - Кфун.)(1 - Кэк.),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Ксов. - коэффициент совокупного износа и устареваний,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Кфиз.- коэффициент физического износа,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Кфун. - коэффициент функционального устаревания,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Кэк. - коэффициент экономического устаревания.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Неоперационные активы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Активы предприятия, не принимающие непосредственного участия в его основной деятельности.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Неспециализированный актив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Актив, который может быть продан на рынке отдельно от всего бизнеса, частью которого он является.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Неустранимый износ (устаревание)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Износ (устаревание), устранение которого технически невозможно либо экономически нецелесообразно, то есть экономическая выгода от возможного устранения износа меньше производимых затрат.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Норма возврата капитала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Норма возврата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Величина ежегодной потери стоимости капитала за время ожидаемого периода использования объекта.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Операционные активы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Активы предприятия, непосредственно задействованные в его основной деятельности и формирующие доходы от этой деятельности.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Операционные расходы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Расходы, связанные с владением и эксплуатацией объекта недвижимости, в том числе налог на имущество, земельные 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платежи (земельный налог или арендная плата) и расходы на страхование, управление, коммунальные услуги и электричество, техническое обслуживание, уборку, охрану, текущий ремонт и пр.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Остаточная балансовая стоимость 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Остаточная стоимость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Разница между первоначальной стоимостью основного средства и начисленной амортизацией за период между датой постановки на баланс и отчетной датой, отраженная в бухгалтерском учете инвентарной позиции.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Первоначальная балансовая стоимость</w:t>
            </w:r>
          </w:p>
        </w:tc>
        <w:tc>
          <w:tcPr>
            <w:tcW w:w="25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Первоначальная стоимость</w:t>
            </w:r>
          </w:p>
        </w:tc>
        <w:tc>
          <w:tcPr>
            <w:tcW w:w="42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Сумма фактических затрат организации на приобретение, сооружение и изготовление основных средств, за исключением налога на добавленную стоимость и иных возмещаемых налогов, отраженная в бухгалтерском учете организации.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Постоянная недозагрузка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Доля вакантных площадей в объекте недвижимости после его выхода на стабильное функционирование.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Постпрогнозный период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Период времени, наступающий после прогнозного периода.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Потенциальный валовый доход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ПВД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Доход, который способен приносить объект при сдаче его или его элементов в аренду и получении арендной платы в полном объеме.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Премия за инвестиционный менеджмент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Премия, учитывающая сложность управления оцениваемым объектом.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Премия за низкую ликвидность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Премия, учитывающая невозможность незамедлительного возврата вложенных в объект недвижимости инвестиций.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 заданиях квалификационного экзамена рассчитывается по формуле</w:t>
            </w:r>
          </w:p>
          <w:p w:rsidR="001809A9" w:rsidRPr="00C22F6A" w:rsidRDefault="00F3443B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disc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</w:rPr>
                <m:t>*N</m:t>
              </m:r>
            </m:oMath>
            <w:r w:rsidR="001809A9" w:rsidRPr="00C22F6A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 (годовая),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N 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- срок экспозиции объекта на рынке (в месяцах).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Премия за риск инвестиций в объект недвижимости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Премия на отраслевой риск инвестирования (инвестирование в недвижимость).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Прибыль предпринимателя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Прибыль девелопера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Вознаграждение предпринимателя (девелопера) за риск использования собственного капитала (инвестиций) для создания объекта недвижимости.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Прогнозный период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Период времени, в течение которого моделируются денежные потоки от объекта недвижимости. В качестве прогнозного периода могут рассматриваться типичный срок владения подобными активами, период до выхода объекта на стабильные потоки доходов и расходов.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Процентная корректировка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Относительная корректировка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Корректировка, вносимая путем умножения цены продажи объекта аналога или его единицы сравнения на коэффициент, отражающий степень различия в характеристиках объекта-аналога и оцениваемого объекта.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Резерв на замещение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Отчисления в ремонтный фонд, который обеспечивает поддержание долгоживущих и своевременную замену короткоживущих элементов объектов недвижимости (за исключением текущего ремонта).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Сверх улучшения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Элементы объекта недвижимости, вклад в стоимость которых меньше затрат на их создание.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Скидка на торг</w:t>
            </w:r>
          </w:p>
        </w:tc>
        <w:tc>
          <w:tcPr>
            <w:tcW w:w="25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Корректировка, учитывающая разницу между ценой предложения и фактической ценой сделки.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Совокупный износ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Общий износ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Уменьшение затрат на создание (воспроизводство или замещение) улучшений, которое может происходить в результате их физического разрушения, функционального и внешнего (экономического) устаревания, или комбинации этих источников, по состоянию на дату оценки.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Специализированный актив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Актив, который не может быть продан на рынке отдельно от всего бизнеса, частью которого он является, в силу 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уникальности, обусловленной специализированным характером, назначением, конструкцией, конфигурацией, составом, размером, местоположением и другими свойствами актива.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Средневзвешенная величина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Рассчитывается по формуле</w:t>
            </w:r>
            <w:r w:rsidRPr="00C22F6A">
              <w:rPr>
                <w:rFonts w:ascii="Times New Roman" w:eastAsia="Times New Roman" w:hAnsi="Times New Roman" w:cs="Times New Roman"/>
                <w:color w:val="000000"/>
                <w:position w:val="-16"/>
              </w:rPr>
              <w:object w:dxaOrig="2100" w:dyaOrig="460" w14:anchorId="745ED9E9">
                <v:shape id="_x0000_i1032" type="#_x0000_t75" style="width:105.6pt;height:23.2pt" o:ole="">
                  <v:imagedata r:id="rId21" o:title=""/>
                </v:shape>
                <o:OLEObject Type="Embed" ProgID="Equation.3" ShapeID="_x0000_i1032" DrawAspect="Content" ObjectID="_1559142493" r:id="rId22"/>
              </w:objec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WA - средневзвешенная величина,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279" w:dyaOrig="360" w14:anchorId="75DAB966">
                <v:shape id="_x0000_i1033" type="#_x0000_t75" style="width:14.4pt;height:18.4pt" o:ole="">
                  <v:imagedata r:id="rId23" o:title=""/>
                </v:shape>
                <o:OLEObject Type="Embed" ProgID="Equation.3" ShapeID="_x0000_i1033" DrawAspect="Content" ObjectID="_1559142494" r:id="rId24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весовые коэффициенты (сумма всех весовых коэффициентов равна 1),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значений,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279" w:dyaOrig="360" w14:anchorId="630784B3">
                <v:shape id="_x0000_i1034" type="#_x0000_t75" style="width:14.4pt;height:18.4pt" o:ole="">
                  <v:imagedata r:id="rId25" o:title=""/>
                </v:shape>
                <o:OLEObject Type="Embed" ProgID="Equation.3" ShapeID="_x0000_i1034" DrawAspect="Content" ObjectID="_1559142495" r:id="rId26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взвешиваемые значения.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Среднее арифметическое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Величина, полученная путем деления суммы членов числового ряда и на их количество.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Срок жизни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Срок физической жизни, полный срок жизни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Полный срок существования объекта недвижимости.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Хронологический возраст</w:t>
            </w:r>
          </w:p>
        </w:tc>
        <w:tc>
          <w:tcPr>
            <w:tcW w:w="25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Фактический возраст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Временной период, прошедший от сдачи объекта в эксплуатацию (или изготовления) до текущего момента (или даты оценки).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Срок физической жизни остаточный 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Срок физической жизни оставшийся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Разница между полным и фактическим сроками жизни.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Срок службы</w:t>
            </w:r>
          </w:p>
        </w:tc>
        <w:tc>
          <w:tcPr>
            <w:tcW w:w="25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Экономический срок службы, срок службы, полный срок службы, срок экономической жизни</w:t>
            </w:r>
          </w:p>
        </w:tc>
        <w:tc>
          <w:tcPr>
            <w:tcW w:w="42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Временной период с момента создания объекта до момента, пока его использование является экономически целесообразным.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Может как совпадать со сроком жизни, так и быть меньше него.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Остаточный срок службы</w:t>
            </w:r>
          </w:p>
        </w:tc>
        <w:tc>
          <w:tcPr>
            <w:tcW w:w="2552" w:type="dxa"/>
          </w:tcPr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Оставшийся срок службы, оставшийся срок экономической службы, остаточный срок экономической службы</w:t>
            </w:r>
          </w:p>
          <w:p w:rsidR="00DD3BC7" w:rsidRPr="00C22F6A" w:rsidRDefault="00DD3BC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Временной период с текущего момента (или даты оценки) до момента, пока использование объекта является экономически целесообразным.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Срок экспозиции объекта недвижимости на открытом рынке 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Срок экспозиции 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Период времени от выставления объекта на продажу до поступления денежных средств за проданный объект или типичный период времени, который необходим для того, чтобы объект был продан на открытом и конкурентном рынке при соблюдении всех рыночных условий.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Ставка дисконтирования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Требуемая норма (ставка) доходности, норма отдачи на вложенный капитал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Процентная ставка, используемая для приведения прогнозируемых денежных потоков (доходов и расходов) к заданному моменту времени, например, к дате оценки.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Процентная ставка, характеризующая требуемую инвестором доходность при инвестировании в объекты и проекты.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Терминальная стоимость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Стоимость реверсии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Стоимость объекта недвижимости на момент окончания периода прогнозирования денежных потоков от объекта недвижимости.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Текущее использование объекта недвижимости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Фактическое использование объекта недвижимости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Фактически сложившееся использование объекта недвижимости на определенную дату, как правило, на дату оценки.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Темп роста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Темп изменения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Относительное изменение значения динамического показателя за период времени, выраженное в процентах.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Улучшения земельного участка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Все изменения, присутствующие на земельном участке или связанные с ним, являющиеся результатом деятельности человека по преобразованию участка для последующего использования.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Устранимый износ (устаревание)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Износ (устаревание), устранение которого технически возможно и экономически целесообразно, т.е. экономическая выгода от устранения износа больше или равна производимым затратам.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Факторы стоимости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Элементы сравнения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Качественные и количественные характеристики объекта недвижимости изменение которых приводит к изменению его стоимостной оценки.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Физический износ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Уменьшение стоимости или полезности оцениваемого объекта вследствие использования или истечения его срока полезной службы, вызванного изнашиванием, порчей и воздействием физического напряжения и иных факторов.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Функциональное устаревание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Уменьшение стоимости объекта из-за его несоответствия современным рыночным требованиям, которое выражается в повышении капитальных затрат и операционных издержек.</w:t>
            </w:r>
          </w:p>
          <w:p w:rsidR="00DD3BC7" w:rsidRPr="00C22F6A" w:rsidRDefault="00DD3BC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Чистый операционный доход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ЧОД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Действительный валовый доход от приносящей доход недвижимости за вычетом операционных расходов и расходов на замещение.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C22F6A">
              <w:rPr>
                <w:rFonts w:ascii="Times New Roman" w:hAnsi="Times New Roman" w:cs="Times New Roman"/>
                <w:color w:val="000000"/>
              </w:rPr>
              <w:t>Эффективный возраст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C22F6A">
              <w:rPr>
                <w:rFonts w:ascii="Times New Roman" w:hAnsi="Times New Roman" w:cs="Times New Roman"/>
                <w:color w:val="000000"/>
              </w:rPr>
              <w:t>Разница между полным сроком экономической жизни объекта недвижимости и его оставшимся сроком экономической жизни.</w:t>
            </w:r>
          </w:p>
          <w:p w:rsidR="001809A9" w:rsidRPr="00C22F6A" w:rsidRDefault="001809A9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Время, которым оценивается продолжительность жизни объекта, в зависимости от его физического состояния, оборудования, дизайна, экономических факторов, влияющих на его стоимость.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165DC9" w:rsidRDefault="00165DC9"/>
    <w:sectPr w:rsidR="00165DC9" w:rsidSect="00DD3BC7">
      <w:headerReference w:type="default" r:id="rId27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3B" w:rsidRDefault="00F3443B" w:rsidP="00DD3BC7">
      <w:pPr>
        <w:spacing w:after="0" w:line="240" w:lineRule="auto"/>
      </w:pPr>
      <w:r>
        <w:separator/>
      </w:r>
    </w:p>
  </w:endnote>
  <w:endnote w:type="continuationSeparator" w:id="0">
    <w:p w:rsidR="00F3443B" w:rsidRDefault="00F3443B" w:rsidP="00DD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3B" w:rsidRDefault="00F3443B" w:rsidP="00DD3BC7">
      <w:pPr>
        <w:spacing w:after="0" w:line="240" w:lineRule="auto"/>
      </w:pPr>
      <w:r>
        <w:separator/>
      </w:r>
    </w:p>
  </w:footnote>
  <w:footnote w:type="continuationSeparator" w:id="0">
    <w:p w:rsidR="00F3443B" w:rsidRDefault="00F3443B" w:rsidP="00DD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263588"/>
      <w:docPartObj>
        <w:docPartGallery w:val="Page Numbers (Top of Page)"/>
        <w:docPartUnique/>
      </w:docPartObj>
    </w:sdtPr>
    <w:sdtEndPr/>
    <w:sdtContent>
      <w:p w:rsidR="00DD3BC7" w:rsidRDefault="00DD3B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EB1">
          <w:rPr>
            <w:noProof/>
          </w:rPr>
          <w:t>2</w:t>
        </w:r>
        <w:r>
          <w:fldChar w:fldCharType="end"/>
        </w:r>
      </w:p>
    </w:sdtContent>
  </w:sdt>
  <w:p w:rsidR="00DD3BC7" w:rsidRDefault="00DD3B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A9"/>
    <w:rsid w:val="001603BD"/>
    <w:rsid w:val="00165DC9"/>
    <w:rsid w:val="001809A9"/>
    <w:rsid w:val="0055284B"/>
    <w:rsid w:val="00640AFB"/>
    <w:rsid w:val="00910EB1"/>
    <w:rsid w:val="009D440E"/>
    <w:rsid w:val="00A100C7"/>
    <w:rsid w:val="00AC7FD8"/>
    <w:rsid w:val="00B872C4"/>
    <w:rsid w:val="00BC46F5"/>
    <w:rsid w:val="00C27992"/>
    <w:rsid w:val="00C55D33"/>
    <w:rsid w:val="00CB0EE0"/>
    <w:rsid w:val="00D85554"/>
    <w:rsid w:val="00DD3BC7"/>
    <w:rsid w:val="00F3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9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3BC7"/>
  </w:style>
  <w:style w:type="paragraph" w:styleId="a8">
    <w:name w:val="footer"/>
    <w:basedOn w:val="a"/>
    <w:link w:val="a9"/>
    <w:uiPriority w:val="99"/>
    <w:unhideWhenUsed/>
    <w:rsid w:val="00DD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9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3BC7"/>
  </w:style>
  <w:style w:type="paragraph" w:styleId="a8">
    <w:name w:val="footer"/>
    <w:basedOn w:val="a"/>
    <w:link w:val="a9"/>
    <w:uiPriority w:val="99"/>
    <w:unhideWhenUsed/>
    <w:rsid w:val="00DD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Image-ПК</cp:lastModifiedBy>
  <cp:revision>2</cp:revision>
  <dcterms:created xsi:type="dcterms:W3CDTF">2017-06-16T15:21:00Z</dcterms:created>
  <dcterms:modified xsi:type="dcterms:W3CDTF">2017-06-16T15:21:00Z</dcterms:modified>
</cp:coreProperties>
</file>